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2DF37" w14:textId="2AC5D29F" w:rsidR="008261B3" w:rsidRPr="008261B3" w:rsidRDefault="00BD0103" w:rsidP="008261B3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7BB8"/>
          <w:kern w:val="36"/>
          <w:sz w:val="22"/>
          <w:szCs w:val="22"/>
          <w:lang w:val="en-GB" w:eastAsia="tr-TR"/>
          <w14:ligatures w14:val="none"/>
        </w:rPr>
        <w:drawing>
          <wp:inline distT="0" distB="0" distL="0" distR="0" wp14:anchorId="529DB32D" wp14:editId="19213A49">
            <wp:extent cx="5756910" cy="1214120"/>
            <wp:effectExtent l="0" t="0" r="0" b="5080"/>
            <wp:docPr id="120858196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61B3"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 xml:space="preserve">Sanal, </w:t>
      </w:r>
      <w:proofErr w:type="spellStart"/>
      <w:r w:rsidR="008261B3"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Artırılmış</w:t>
      </w:r>
      <w:proofErr w:type="spellEnd"/>
      <w:r w:rsidR="008261B3"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="008261B3"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ve</w:t>
      </w:r>
      <w:proofErr w:type="spellEnd"/>
      <w:r w:rsidR="008261B3"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 xml:space="preserve"> Karma Gerçeklik Hakkında Açıklayıcı Sözlük</w:t>
      </w:r>
    </w:p>
    <w:p w14:paraId="6CDA3A10" w14:textId="15713FD1" w:rsidR="008261B3" w:rsidRPr="008261B3" w:rsidRDefault="008261B3" w:rsidP="008261B3">
      <w:pPr>
        <w:spacing w:after="0" w:line="240" w:lineRule="auto"/>
        <w:jc w:val="center"/>
        <w:outlineLvl w:val="2"/>
        <w:rPr>
          <w:rFonts w:ascii="Calibri" w:eastAsia="Times New Roman" w:hAnsi="Calibri" w:cs="Calibri"/>
          <w:b/>
          <w:bCs/>
          <w:color w:val="007BB8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color w:val="007BB8"/>
          <w:kern w:val="0"/>
          <w:sz w:val="22"/>
          <w:szCs w:val="22"/>
          <w:lang w:val="en-GB" w:eastAsia="tr-TR"/>
          <w14:ligatures w14:val="none"/>
        </w:rPr>
        <w:t>Mesleki Eğitim ve Öğretim (VET) Okulları İçin – EQF Seviye 4 ve Seviye 5</w:t>
      </w:r>
    </w:p>
    <w:p w14:paraId="0AF26609" w14:textId="3B8884D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DCB5621" w14:textId="1A8A0257" w:rsidR="008261B3" w:rsidRPr="006243DE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BÖLÜM I – SÜRÜKLEYİCİ TEKNOLOJİLERİN TEMELLERİ</w:t>
      </w:r>
    </w:p>
    <w:p w14:paraId="6CB3ECE7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1. Sanal Gerçeklik (VR)</w:t>
      </w:r>
    </w:p>
    <w:p w14:paraId="4D944D9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Kullanıcıların fiziksel olarak oradaymış gibi etkileşim kurabilecekleri, tamamen bilgisayar destekli üç boyutlu bir ortam.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Örnek: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Bir mekatronik öğrencisi sanal olarak bir CNC makinesini çalıştırır.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Amaç: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Güvenli, tekrarlanabilir ve uygun maliyetli bir eğitim sağlar.</w:t>
      </w:r>
    </w:p>
    <w:p w14:paraId="73D5A4DC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4D721E88" w14:textId="2552C829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2. Artırılmış Gerçeklik (AR)</w:t>
      </w:r>
    </w:p>
    <w:p w14:paraId="2E0A1E79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Telefonlar, tabletler veya artırılmış gerçeklik gözlükleri aracılığıyla fiziksel dünyaya dijital katmanlar (metin, 3B nesneler, rehberlik) ekler.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Kullanım: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Kablo şemalarını doğrudan bir elektrik panosunun üzerinde görüntüleyin.</w:t>
      </w:r>
    </w:p>
    <w:p w14:paraId="5210EB4A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553FE458" w14:textId="66226F33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3. Karma Gerçeklik (MR)</w:t>
      </w:r>
    </w:p>
    <w:p w14:paraId="0F27DC6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Gerçek ve sanal öğeleri entegre ederek gerçek zamanlı etkileşim kurmalarını sağlar.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Örnek: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Gerçek bir vananın çevrilmesi sanal bir basınç göstergesini ayarlar.</w:t>
      </w:r>
    </w:p>
    <w:p w14:paraId="45E873D9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73E8255" w14:textId="6E1F6812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4. Genişletilmiş Gerçeklik (XR)</w:t>
      </w:r>
    </w:p>
    <w:p w14:paraId="041AAB7C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VR + AR + MR ve gelecekteki sürükleyici formatlar için genel bir terim.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Anlamı: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"XR", AB eğitim politikalarında sürükleyici öğrenme teknolojisini tanımlamak için sıklıkla kullanılır.</w:t>
      </w:r>
    </w:p>
    <w:p w14:paraId="047203FD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E3154CB" w14:textId="01B128AC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5. Daldırma</w:t>
      </w:r>
    </w:p>
    <w:p w14:paraId="158EB1B0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Dijital ortamın "içinde" olmanın psikolojik hali.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Görsellerden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,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seslerden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ve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etkileşimden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etkilenir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</w:p>
    <w:p w14:paraId="64C1F710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1E435A6C" w14:textId="250FA88D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6.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Varlık</w:t>
      </w:r>
      <w:proofErr w:type="spellEnd"/>
    </w:p>
    <w:p w14:paraId="18F09E87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Kullanıcının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sanal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dünyayı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gerçek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olarak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algılaması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.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Beynin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sanal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uyaranları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gerçek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olarak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kabul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etmesiyle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gerçekleşir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</w:p>
    <w:p w14:paraId="4D9124B7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61FE6AD8" w14:textId="00300735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7.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Etkileşim</w:t>
      </w:r>
      <w:proofErr w:type="spellEnd"/>
    </w:p>
    <w:p w14:paraId="7855DD72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Kullanıcıların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çevreyi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ne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ölçüde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değiştirebildiği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veya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etkileyebildiği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  <w:t xml:space="preserve">Yüksek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etkileşim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=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daha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derin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etkileşim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=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daha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iyi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öğrenme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sonuçları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</w:p>
    <w:p w14:paraId="5E265628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111D5DB8" w14:textId="543A5D9E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8.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Gerçekçilik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ve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Sadakat</w:t>
      </w:r>
    </w:p>
    <w:p w14:paraId="2EA126B3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Grafik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,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fizik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ve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sesin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gerçek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dünyayla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karşılaştırılması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Mesleki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uygulamalarda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yüksek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doğruluklu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simülasyonlar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olmazsa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olmazdır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.</w:t>
      </w:r>
    </w:p>
    <w:p w14:paraId="21644322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7756661C" w14:textId="7FC41B9D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9. Sanal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Ortam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(VE)</w:t>
      </w:r>
    </w:p>
    <w:p w14:paraId="48982C25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Etkileşimin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gerçekleştiği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3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boyutlu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dijital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proofErr w:type="gram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alan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;</w:t>
      </w:r>
      <w:proofErr w:type="gram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eğitim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için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modellenmiş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odalar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,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araçlar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veya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makineler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</w:p>
    <w:p w14:paraId="51A6D1A6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10E2578B" w14:textId="1E7034D0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10. 360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Derece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Video</w:t>
      </w:r>
    </w:p>
    <w:p w14:paraId="365B509F" w14:textId="45DABA68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lastRenderedPageBreak/>
        <w:t xml:space="preserve">Özel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kameralarla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her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yönden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kayıt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altına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alınan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görüntüler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.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Öğrenciler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etrafa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rahatça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bakabilir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ancak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hareket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edemezler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.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İşyeri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turları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için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idealdir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</w:p>
    <w:p w14:paraId="6830A7A5" w14:textId="7BD20318" w:rsidR="008261B3" w:rsidRPr="00BD0103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fr-FR" w:eastAsia="tr-TR"/>
        </w:rPr>
      </w:pPr>
      <w:r w:rsidRPr="00BD0103">
        <w:rPr>
          <w:rFonts w:eastAsia="Times New Roman"/>
          <w:b/>
          <w:bCs/>
          <w:sz w:val="22"/>
          <w:szCs w:val="22"/>
          <w:lang w:val="fr-FR" w:eastAsia="tr-TR"/>
        </w:rPr>
        <w:t>BÖLÜM II – TEMEL BİLEŞENLER VE TEKNOLOJİLER</w:t>
      </w:r>
    </w:p>
    <w:p w14:paraId="2D9C5483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11. Baş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Üstü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Ekran (HMD)</w:t>
      </w:r>
    </w:p>
    <w:p w14:paraId="6162EAD2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Her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göze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biraz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farklı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görüntü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gösteren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,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derinlik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algısı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yaratan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giyilebilir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ekran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proofErr w:type="spellStart"/>
      <w:proofErr w:type="gram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Örnekler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:</w:t>
      </w:r>
      <w:proofErr w:type="gram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Meta Quest, HTC </w:t>
      </w:r>
      <w:proofErr w:type="gram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Vive ,</w:t>
      </w:r>
      <w:proofErr w:type="gram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Pico Neo.</w:t>
      </w:r>
    </w:p>
    <w:p w14:paraId="44B69CD1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2AD77433" w14:textId="732DF255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12.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Denetleyiciler</w:t>
      </w:r>
      <w:proofErr w:type="spellEnd"/>
    </w:p>
    <w:p w14:paraId="2691904F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Etkileşime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olanak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tanıyan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(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tutma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,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basma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veya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işaret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etme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)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elde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taşınabilir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veya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hareket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izli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cihazlar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</w:p>
    <w:p w14:paraId="309A5215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395A00FD" w14:textId="2CAAD42B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13.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İzleme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Sistemleri</w:t>
      </w:r>
      <w:proofErr w:type="spellEnd"/>
    </w:p>
    <w:p w14:paraId="4CE4BF07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Donanım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+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yazılım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kullanıcı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pozisyonunu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/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yönünü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belirler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</w:p>
    <w:p w14:paraId="7E815691" w14:textId="77777777" w:rsidR="008261B3" w:rsidRPr="00BD0103" w:rsidRDefault="008261B3" w:rsidP="008261B3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İçten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proofErr w:type="gram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dışa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:</w:t>
      </w:r>
      <w:proofErr w:type="gram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Dahili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kameralar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çevreyi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algılar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</w:p>
    <w:p w14:paraId="42E2EF83" w14:textId="77777777" w:rsidR="008261B3" w:rsidRPr="00BD0103" w:rsidRDefault="008261B3" w:rsidP="008261B3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Dışarıdan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proofErr w:type="gram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içeriye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:</w:t>
      </w:r>
      <w:proofErr w:type="gram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Harici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sensörler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,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kulaklığın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konumunu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izler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</w:p>
    <w:p w14:paraId="165188B3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170B51BB" w14:textId="2B4BCF04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14.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Sensörler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ve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Kameralar</w:t>
      </w:r>
      <w:proofErr w:type="spellEnd"/>
    </w:p>
    <w:p w14:paraId="284B1DF2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VR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sahneleriyle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bütünleşmek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için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gerçek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dünyadaki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jestleri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,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göz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hareketlerini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veya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nesneleri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yakalayın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</w:p>
    <w:p w14:paraId="060519F4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64C88A6E" w14:textId="50F5F000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15.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Dokunsal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Geri Bildirim</w:t>
      </w:r>
    </w:p>
    <w:p w14:paraId="7C737CAB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Dokunma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tabanlı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geri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bildirim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(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titreşim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,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basınç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,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sıcaklık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)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dokunsal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gerçekçilik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sağlar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Mesleki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Eğitim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ve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proofErr w:type="gram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Öğretimde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:</w:t>
      </w:r>
      <w:proofErr w:type="gram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Makine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aleti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hissi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veya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cerrahi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uygulama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için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kullanılır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</w:p>
    <w:p w14:paraId="6F98F02C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75829CBC" w14:textId="0CC152FA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16.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Mekansal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Ses</w:t>
      </w:r>
    </w:p>
    <w:p w14:paraId="2EC3D8CD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Sanal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mekanlarda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mekansal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farkındalığı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artıran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,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baş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hareketiyle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değişen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3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boyutlu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ses.</w:t>
      </w:r>
    </w:p>
    <w:p w14:paraId="70DBB8A2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2A60F7BB" w14:textId="5942C065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17.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Görüş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Alanı</w:t>
      </w:r>
      <w:proofErr w:type="spellEnd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 (FOV)</w:t>
      </w:r>
    </w:p>
    <w:p w14:paraId="650C90CE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Görünür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sanal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uzayın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açısal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genişliği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br/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Geniş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görüş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alanı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≈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daha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fazla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gerçekçilik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</w:p>
    <w:p w14:paraId="17B6797E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2E1C20CE" w14:textId="384705CE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 xml:space="preserve">18. Kare </w:t>
      </w:r>
      <w:proofErr w:type="spellStart"/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  <w:t>Hızı</w:t>
      </w:r>
      <w:proofErr w:type="spellEnd"/>
    </w:p>
    <w:p w14:paraId="08233CE1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</w:pP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Saniyedeki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kare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sayısı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(Hz). Daha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yüksek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hızlar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(≥ 90 Hz)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hareket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tutmasını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 xml:space="preserve"> </w:t>
      </w:r>
      <w:proofErr w:type="spellStart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azaltır</w:t>
      </w:r>
      <w:proofErr w:type="spellEnd"/>
      <w:r w:rsidRPr="00BD0103">
        <w:rPr>
          <w:rFonts w:ascii="Calibri" w:eastAsia="Times New Roman" w:hAnsi="Calibri" w:cs="Calibri"/>
          <w:kern w:val="0"/>
          <w:sz w:val="22"/>
          <w:szCs w:val="22"/>
          <w:lang w:val="fr-FR" w:eastAsia="tr-TR"/>
          <w14:ligatures w14:val="none"/>
        </w:rPr>
        <w:t>.</w:t>
      </w:r>
    </w:p>
    <w:p w14:paraId="45750653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fr-FR" w:eastAsia="tr-TR"/>
          <w14:ligatures w14:val="none"/>
        </w:rPr>
      </w:pPr>
    </w:p>
    <w:p w14:paraId="4AE34680" w14:textId="4E5F9F74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19. İşleme</w:t>
      </w:r>
    </w:p>
    <w:p w14:paraId="0C147046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3B modelleri görsellere dönüştürme süreci. Gerçek zamanlı render, VR'da akıcı hareketler sağlar.</w:t>
      </w:r>
    </w:p>
    <w:p w14:paraId="1A29983C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0723E3C2" w14:textId="3580682F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20. Oyun Motorları</w:t>
      </w:r>
    </w:p>
    <w:p w14:paraId="06E5310B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VR/AR uygulamaları oluşturmak için yazılım temelleri (Unity, Unreal Engine). Fizik, aydınlatma ve kullanıcı girdisini yönetin.</w:t>
      </w:r>
    </w:p>
    <w:p w14:paraId="55E1E8C7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219722E1" w14:textId="48C20260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21. 3D Modelleme</w:t>
      </w:r>
    </w:p>
    <w:p w14:paraId="3E21C7D6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Blender, SolidWorks, SimLab Composer aracılığıyla alet veya makinelerin dijital temsillerinin oluşturulması.</w:t>
      </w:r>
    </w:p>
    <w:p w14:paraId="1DC46DE6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30FC3C21" w14:textId="56ABF435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22. Doku ve Aydınlatma</w:t>
      </w:r>
    </w:p>
    <w:p w14:paraId="579B7A3B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Gerçekçiliği artırmak için yüzey malzemeleri, yansımalar ve gölgeler atamak.</w:t>
      </w:r>
    </w:p>
    <w:p w14:paraId="3195E078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02AD04C6" w14:textId="13B8BF76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23. Animasyon</w:t>
      </w:r>
    </w:p>
    <w:p w14:paraId="429CE384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Öğrencilerin dinamik süreçleri görebilmeleri için modellere hareket uygulamak (örneğin dönen dişliler veya akışkan akışı).</w:t>
      </w:r>
    </w:p>
    <w:p w14:paraId="3B583363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17D112A7" w14:textId="5DD123D3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lastRenderedPageBreak/>
        <w:t>24. Simülasyon Motoru</w:t>
      </w:r>
    </w:p>
    <w:p w14:paraId="4AC55706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Eğitim senaryolarını inandırıcı kılan fiziksel davranışları (kuvvetler, çarpışmalar) hesaplar .</w:t>
      </w:r>
    </w:p>
    <w:p w14:paraId="54715F1E" w14:textId="77777777" w:rsidR="001E497E" w:rsidRPr="00BD0103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0FA87087" w14:textId="41B83FB8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25. Bulut Oluşturma</w:t>
      </w:r>
    </w:p>
    <w:p w14:paraId="4BF19B5F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Uzak sunucular yoğun grafikleri yönetir ve VR sahnelerini daha az güçlü yerel cihazlara aktarır.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Avantaj: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Sınırlı donanım bütçesine sahip okullar için erişilebilir.</w:t>
      </w:r>
    </w:p>
    <w:p w14:paraId="43773467" w14:textId="42CD98B2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F222EFB" w14:textId="78078EEF" w:rsidR="008261B3" w:rsidRPr="00BD0103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BD0103">
        <w:rPr>
          <w:rFonts w:eastAsia="Times New Roman"/>
          <w:b/>
          <w:bCs/>
          <w:sz w:val="22"/>
          <w:szCs w:val="22"/>
          <w:lang w:val="it-IT" w:eastAsia="tr-TR"/>
        </w:rPr>
        <w:t>BÖLÜM III – ETKİLEŞİMLİ ÖĞRENME VE EĞİTİM UYGULAMALARI</w:t>
      </w:r>
    </w:p>
    <w:p w14:paraId="6D712BAC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26. Sürükleyici Öğrenme</w:t>
      </w:r>
    </w:p>
    <w:p w14:paraId="29A5532E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Öğrencilerin ezbere değil, deneyimleyerek öğrenmelerini sağlayan gerçekçi durumlara yerleştiren bir eğitim yöntemi.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Örnek: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Öğrenciler, güvenlik tehlikelerini belirlemek için sanal bir inşaat alanına girerler.</w:t>
      </w:r>
    </w:p>
    <w:p w14:paraId="4674E28E" w14:textId="5503563E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D242912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27. Deneyimsel Öğrenme</w:t>
      </w:r>
    </w:p>
    <w:p w14:paraId="3F4855F4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Doğrudan deneyim, düşünme ve düzeltme yoluyla öğrenme.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VR avantajı: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Ustalaşana kadar güvenli tekrar imkanı sunar; kaynak, elektrik veya kimyasal işler için idealdir.</w:t>
      </w:r>
    </w:p>
    <w:p w14:paraId="5516573E" w14:textId="7C106641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51DCB0D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28. Senaryo Tabanlı Öğrenme</w:t>
      </w:r>
    </w:p>
    <w:p w14:paraId="73039048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Yapılandırılmış, gerçekçi görevler kullanan bir öğretim yöntemi.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Öğrenciler sanal bir senaryoda gezinir, kararlar alır ve sonuçları gözlemler.</w:t>
      </w:r>
    </w:p>
    <w:p w14:paraId="6AC2FCD6" w14:textId="1C2FD4BC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56A801F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29. Problem Tabanlı Öğrenme (PBL)</w:t>
      </w:r>
    </w:p>
    <w:p w14:paraId="71C2120E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Öğrenciler bir simülasyonda açık uçlu bir problemle karşı karşıya kalır ve çözmek için iş birliği yaparlar.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Takım çalışmasını, analizi ve yaratıcılığı teşvik eder.</w:t>
      </w:r>
    </w:p>
    <w:p w14:paraId="3D3B9966" w14:textId="7200F35B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278B0B4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30. Sanal Laboratuvar</w:t>
      </w:r>
    </w:p>
    <w:p w14:paraId="5B1FAA47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Deneyleri ve araçları kopyalayan bilgisayar destekli bir laboratuvar.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Mesleki Eğitim Kullanımı: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Kimyasal karıştırma, elektriksel ölçümler, otomotiv teşhisi.</w:t>
      </w:r>
    </w:p>
    <w:p w14:paraId="68D44B2B" w14:textId="2984D9B4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354A79C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31. Simülasyon Tabanlı Eğitim</w:t>
      </w:r>
    </w:p>
    <w:p w14:paraId="51AED03B" w14:textId="0B4A0BCB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İşyerinin dijital modelinde teknik operasyonların uygulanması. Hassasiyet, zaman ve güvenlik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="001E497E"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davranışlarının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ölçülmesine olanak tanır .</w:t>
      </w:r>
    </w:p>
    <w:p w14:paraId="3A7748FE" w14:textId="68A09ABE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D37FEC9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32. Beceri Transferi</w:t>
      </w:r>
    </w:p>
    <w:p w14:paraId="38361593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VR'da kazanılan yetkinliklerin gerçek dünya performansına dönüştürülmesi süreci.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Yüksek kaliteli simülasyonlar daha iyi aktarım sağlar.</w:t>
      </w:r>
    </w:p>
    <w:p w14:paraId="0DE676DB" w14:textId="745D4862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D6A69DA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33. Güvenlik Eğitimi</w:t>
      </w:r>
    </w:p>
    <w:p w14:paraId="566BB62C" w14:textId="1B0314BF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Tehlikeli koşulları (yangın, yükseklik, kimyasal sızıntı) VR'da güvenli bir şekilde yeniden yaratır. Öğrenciler acil durum müdahale adımlarını etkileşimli olarak deneyimler.</w:t>
      </w:r>
    </w:p>
    <w:p w14:paraId="7D3897FD" w14:textId="39AEBDE1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F2BB539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34. Bakım ve Onarım Modülleri</w:t>
      </w:r>
    </w:p>
    <w:p w14:paraId="4AD456B3" w14:textId="03EFDDED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Makinelerin nasıl servis edileceğini adım adım gösteren dijital kılavuzlar. Mekanik, elektrik ve mekatronik programlarında faydalıdır.</w:t>
      </w:r>
    </w:p>
    <w:p w14:paraId="4F0EE8C5" w14:textId="7FB73853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A049BF2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35. Tıp ve Sağlık Eğitimi</w:t>
      </w:r>
    </w:p>
    <w:p w14:paraId="6DDF463D" w14:textId="3265AF10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Anatomi çalışmaları, cerrahi işlemler ve hasta iletişimi için kullanılır. AR katmanları, iç organları gerçek mankenler üzerinde görüntüleyebilir.</w:t>
      </w:r>
    </w:p>
    <w:p w14:paraId="29967C43" w14:textId="32F8D552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D29D19D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lastRenderedPageBreak/>
        <w:t>36. Turizm ve Kültürel Miras</w:t>
      </w:r>
    </w:p>
    <w:p w14:paraId="185B1B27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Öğrenciler sanal müzeleri, otelleri veya arkeolojik alanları keşfedebilirler.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Örnek: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Kapadokya'daki mağara kiliselerinin 3 boyutlu turu veya bir e-otel simülasyonu.</w:t>
      </w:r>
    </w:p>
    <w:p w14:paraId="7A2D5399" w14:textId="0F1C665C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7ED09C5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37. Otomotiv ve Havacılık Eğitimi</w:t>
      </w:r>
    </w:p>
    <w:p w14:paraId="1B9CA7B4" w14:textId="63C35400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Simülatörler, sürüş veya uçuş mekaniklerini gerçekçi bir şekilde yeniden üretir. Operasyonel yetkinliği geliştirirken yakıt maliyetlerini ve riskleri azaltır.</w:t>
      </w:r>
    </w:p>
    <w:p w14:paraId="63DA75C3" w14:textId="4F8F9A68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EE49DB8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38. İnşaat ve Mimarlık Eğitimi</w:t>
      </w:r>
    </w:p>
    <w:p w14:paraId="33837A8E" w14:textId="113563DB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AR katmanları, şantiyelerdeki yapısal planların görselleştirilmesine yardımcı olur. VR ise dijital planların tam ölçekli olarak incelenmesine olanak tanır.</w:t>
      </w:r>
    </w:p>
    <w:p w14:paraId="560163D7" w14:textId="53237075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E60092C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39. Yenilenebilir Enerji Eğitimi</w:t>
      </w:r>
    </w:p>
    <w:p w14:paraId="154C9D33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Sanal rüzgar türbini veya güneş paneli kurulumları, pahalı prototiplere gerek kalmadan bakım yapmayı öğretiyor.</w:t>
      </w:r>
    </w:p>
    <w:p w14:paraId="37377A8E" w14:textId="119E08D5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66568EF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40. Üretim ve Endüstri 4.0 Laboratuvarları</w:t>
      </w:r>
    </w:p>
    <w:p w14:paraId="5B778060" w14:textId="08FD986D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Sanal fabrikalar, montaj hatlarını, robotik sistemleri ve sensörleri simüle eder. Öğrencilerin otomasyonu ve veri akışını kavramalarına yardımcı olur.</w:t>
      </w:r>
    </w:p>
    <w:p w14:paraId="1284BDC4" w14:textId="722F9FA0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970C858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41. Uzaktan İşbirliği</w:t>
      </w:r>
    </w:p>
    <w:p w14:paraId="46C29E07" w14:textId="653D1354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Farklı konumlardan birden fazla kullanıcının aynı sanal alana bağlanmasını sağlar. Erasmus+ projelerinde veya okullar arası laboratuvarlarda kullanılır.</w:t>
      </w:r>
    </w:p>
    <w:p w14:paraId="33354604" w14:textId="03CD3324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DCBC845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42. Sanal Sınıf ve Toplantı Alanları</w:t>
      </w:r>
    </w:p>
    <w:p w14:paraId="2DCEB71D" w14:textId="000EF4E4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Öğretmenler ve öğrenciler avatarlar aracılığıyla etkileşim kurar. Çevrimiçi veya karma eğitim sırasında etkileşimi teşvik eder.</w:t>
      </w:r>
    </w:p>
    <w:p w14:paraId="6E53A847" w14:textId="58D586A6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A6B9658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43. Oyunlaştırma</w:t>
      </w:r>
    </w:p>
    <w:p w14:paraId="2C736CD6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Motivasyonu ve devamlılığı artırmak için oyun öğelerini (puanlar, rozetler, liderlik tabloları) kullanmak.</w:t>
      </w:r>
    </w:p>
    <w:p w14:paraId="6323106D" w14:textId="129B7483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33A18C3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44. Mikro Öğrenme</w:t>
      </w:r>
    </w:p>
    <w:p w14:paraId="76D4D1A5" w14:textId="355125E2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Tek bir beceriyi hedefleyen kısa, odaklı VR modülleri (5-10 dakika). Tazeleme oturumları ve mobil öğrenme için etkilidir.</w:t>
      </w:r>
    </w:p>
    <w:p w14:paraId="5D7B9ADB" w14:textId="70D17D69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9F09D65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45. VR'da Uyarlanabilir Öğrenme</w:t>
      </w:r>
    </w:p>
    <w:p w14:paraId="4ED323BA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Sistem, öğrencinin performansını analiz ediyor ve yapay zeka algoritmalarını kullanarak zorluğu otomatik olarak ayarlıyor.</w:t>
      </w:r>
    </w:p>
    <w:p w14:paraId="150E6FF6" w14:textId="02BBCC72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5E9FE97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46. Geri Bildirim ve Değerlendirme</w:t>
      </w:r>
    </w:p>
    <w:p w14:paraId="5CD8D8F8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VR sistemleri anında performans geri bildirimi sağlar; renkli göstergeler, puanlar veya yönetici gösterge panelleri.</w:t>
      </w:r>
    </w:p>
    <w:p w14:paraId="06089470" w14:textId="05270CB2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2334736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47. Öğrenme Analitiği</w:t>
      </w:r>
    </w:p>
    <w:p w14:paraId="543F90C6" w14:textId="25EAAE52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Tamamlanma süresi, hata sayısı ve bakış yönü gibi verileri toplar. Öğretmenlerin eğitimi kişiselleştirmesine yardımcı olur.</w:t>
      </w:r>
    </w:p>
    <w:p w14:paraId="25A1D193" w14:textId="372E33DD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BF1BF7B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48. Yeterlilik Temelli Eğitim</w:t>
      </w:r>
    </w:p>
    <w:p w14:paraId="144BABAD" w14:textId="0D8FDD8E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Yoğun eğitim, yalnızca teoriye değil, tanımlanmış becerilere ve öğrenme çıktılarına odaklanır. Mikro kimlik bilgileriyle tanınırlığı destekler.</w:t>
      </w:r>
    </w:p>
    <w:p w14:paraId="3605C518" w14:textId="02888858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666FADE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49. Sanal Çıraklık</w:t>
      </w:r>
    </w:p>
    <w:p w14:paraId="07B2E5A0" w14:textId="43A3EA82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lastRenderedPageBreak/>
        <w:t>Öğrenciler, fiziksel stajlardan önce işe özgü rutinleri sanal olarak deneyimlerler. Bu onları şirketin beklentilerine hazırlar.</w:t>
      </w:r>
    </w:p>
    <w:p w14:paraId="751FEFD5" w14:textId="0268478F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540ADDF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50. Karma Öğrenme Modelleri</w:t>
      </w:r>
    </w:p>
    <w:p w14:paraId="5785A8FA" w14:textId="2399E4A4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Sınıf içi eğitim, çevrimiçi teori ve VR/AR uygulamalarını bir araya getirir. Öğrenme derinliğini korurken esneklik ve çeşitlilik sunar.</w:t>
      </w:r>
    </w:p>
    <w:p w14:paraId="3DB05750" w14:textId="3C926D5D" w:rsidR="008261B3" w:rsidRPr="00BD0103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BD0103">
        <w:rPr>
          <w:rFonts w:eastAsia="Times New Roman"/>
          <w:b/>
          <w:bCs/>
          <w:sz w:val="22"/>
          <w:szCs w:val="22"/>
          <w:lang w:val="it-IT" w:eastAsia="tr-TR"/>
        </w:rPr>
        <w:t>BÖLÜM IV – ENDÜSTRİ 4.0 VE DİJİTAL DÖNÜŞÜM</w:t>
      </w:r>
    </w:p>
    <w:p w14:paraId="31125F65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51. Endüstri 4.0</w:t>
      </w:r>
    </w:p>
    <w:p w14:paraId="28E27C89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Akıllı fabrikalar, otomasyon, IoT ve dijital ikizlerin öne çıktığı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dördüncü sanayi devrimini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ifade eder . </w:t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VR/AR'nin rolü: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İş akışlarını görselleştirmek, operatörleri eğitmek ve montaj hatlarını simüle etmek için kullanılır.</w:t>
      </w:r>
    </w:p>
    <w:p w14:paraId="13D05B41" w14:textId="587A586F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B498B07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52. Akıllı Fabrika</w:t>
      </w:r>
    </w:p>
    <w:p w14:paraId="0F677126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Makinelerin ve sistemlerin sensörler ve veriler aracılığıyla iletişim kurduğu otomatik bir üretim ortamı.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VR simülasyonları, öğrencilere bu tür sistemleri izlemeyi ve optimize etmeyi öğretir.</w:t>
      </w:r>
    </w:p>
    <w:p w14:paraId="0E6C7DF9" w14:textId="689F7762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32971A7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53. Siber-Fiziksel Sistem (CPS)</w:t>
      </w:r>
    </w:p>
    <w:p w14:paraId="17F9F65A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Fiziksel bileşenlerin (makineler, robotlar) ve dijital unsurların (yazılım, yapay zeka) birleşimi.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Örnek: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Gerçek zamanlı geri bildirim sağlayan bir VR kontrol paneli aracılığıyla kontrol edilen bir robot.</w:t>
      </w:r>
    </w:p>
    <w:p w14:paraId="6B6C96B6" w14:textId="48B3DB5E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FDEB0EA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54. Dijital İkiz</w:t>
      </w:r>
    </w:p>
    <w:p w14:paraId="5D35D0F4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Gerçek bir nesnenin veya sürecin canlı dijital kopyası, sensör verileriyle sürekli güncellenir.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Mesleki eğitimde kullanım: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Öğrencilerin makine performansını sanal olarak gözlemlemelerine, tahmin etmelerine ve kontrol etmelerine olanak tanır.</w:t>
      </w:r>
    </w:p>
    <w:p w14:paraId="749E1992" w14:textId="36F38D26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047FCAF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55. Nesnelerin İnterneti (IoT)</w:t>
      </w:r>
    </w:p>
    <w:p w14:paraId="14B5AF27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İnternet üzerinden veri alışverişinde bulunan bağlı cihazlardan oluşan ağ.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Örnek: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Endüstriyel ekipmanlardaki sensörlerin bir AR bakım uygulamasına bilgi göndermesi.</w:t>
      </w:r>
    </w:p>
    <w:p w14:paraId="190D1C19" w14:textId="387AC924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6FBB603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56. XR'de Yapay Zeka (AI)</w:t>
      </w:r>
    </w:p>
    <w:p w14:paraId="21825D25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Yapay zeka gerçekçiliği artırıyor, puanlamayı otomatikleştiriyor ve kullanıcıların eylemlerine tepki veren akıllı sanal karakterleri yönlendiriyor.</w:t>
      </w:r>
    </w:p>
    <w:p w14:paraId="213C15EE" w14:textId="598337DA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9221BDD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57. Makine Öğrenmesi (ML)</w:t>
      </w:r>
    </w:p>
    <w:p w14:paraId="4C939CF0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Yapay zekanın, sistemlerin deneyim yoluyla otomatik olarak gelişmesini sağlayan bir alt kümesi.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Kullanım: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Uzman performansının nasıl göründüğünü "öğrenen" sanal gerçeklik değerlendirme sistemleri.</w:t>
      </w:r>
    </w:p>
    <w:p w14:paraId="55F8911B" w14:textId="1A0294DE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BE3A48E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58. Robotik ve Otomasyon</w:t>
      </w:r>
    </w:p>
    <w:p w14:paraId="272CBD12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AR/VR, fiziksel robotlar olmadan robot programlamayı, hareket planlamasını ve güvenlik prosedürlerini öğretir.</w:t>
      </w:r>
    </w:p>
    <w:p w14:paraId="7A5E1B13" w14:textId="7015C6FC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741A94F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59. Katmanlı Üretim (3D Baskı)</w:t>
      </w:r>
    </w:p>
    <w:p w14:paraId="7D08E37C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Bileşenleri katman katman oluşturun.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AR görselleştirmeleri iç yapıları gösterir; VR ortamları yazıcı kurulumunu ve kalibrasyonunu eğitir.</w:t>
      </w:r>
    </w:p>
    <w:p w14:paraId="590BF731" w14:textId="0E7FB68C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B17096A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60. Simülasyon Yazılımı</w:t>
      </w:r>
    </w:p>
    <w:p w14:paraId="7DD0EF96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AnyLogic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, </w:t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Simulink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veya </w:t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SimLab Composer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gibi uygulamalar gerçek dünya sistemlerini modellemek için kullanılır.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Öğrenciler gerçek makineleri çalıştırmadan önce dijital olarak deney yaparlar.</w:t>
      </w:r>
    </w:p>
    <w:p w14:paraId="538443A7" w14:textId="548ADC38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42448BE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61. Bulut Bilişim</w:t>
      </w:r>
    </w:p>
    <w:p w14:paraId="4F076A27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Bilgi işlem kaynaklarının (sunucular, depolama, VR görüntüleme) İnternet üzerinden sunulması.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Mesleki eğitim merkezlerinin büyük 3B dosyaları barındırmasına ve uzaktan VR oturumları yürütmesine olanak tanır.</w:t>
      </w:r>
    </w:p>
    <w:p w14:paraId="6A803ECB" w14:textId="6E2F357F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4F5EFC6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62. XR'de Veri Görselleştirme</w:t>
      </w:r>
    </w:p>
    <w:p w14:paraId="79FC6CB2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Karmaşık bilgilerin (sıcaklıklar, basınçlar, çıktılar) sanal alanda 3 boyutlu grafiklerle gösterilmesi.</w:t>
      </w:r>
    </w:p>
    <w:p w14:paraId="63E2ECD6" w14:textId="24242B38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3A4B778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63. Dijital Beceri Çerçeveleri</w:t>
      </w:r>
    </w:p>
    <w:p w14:paraId="311F3563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AB'nin </w:t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DigComp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ve </w:t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ESCO'su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dijital teknolojilerdeki yeterlilikleri tanımlıyor ve XR eğitim programları için referans araçları olarak kullanılıyor.</w:t>
      </w:r>
    </w:p>
    <w:p w14:paraId="154FD2B0" w14:textId="1A9AD458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252547F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64. Avrupa Yeterlilikler Çerçevesi (AYÇ)</w:t>
      </w:r>
    </w:p>
    <w:p w14:paraId="1B806C92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Bilgi, beceri ve sorumluluk temelinde sekiz öğrenme seviyesi tanımlar.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Seviye 4 (hedef grup), teknik ve mesleki programlara karşılık gelir.</w:t>
      </w:r>
    </w:p>
    <w:p w14:paraId="28D1EE1D" w14:textId="40D0F502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8A8968B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65. Yeterlilik Haritalaması</w:t>
      </w:r>
    </w:p>
    <w:p w14:paraId="16A41B54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Belirli VR eğitim çıktılarını EQF veya ESCO tanımlayıcılarını kullanarak mesleki profillerle ilişkilendirmek.</w:t>
      </w:r>
    </w:p>
    <w:p w14:paraId="30B92E46" w14:textId="2B541AAE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B30F537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66. Artırılmış Bakım</w:t>
      </w:r>
    </w:p>
    <w:p w14:paraId="303C2B41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AR, adım adım dijital katmanlarla çalışanları bakım sürecinde yönlendirerek kesinti süresini azaltır.</w:t>
      </w:r>
    </w:p>
    <w:p w14:paraId="0F542226" w14:textId="54904D9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9AED4DD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67. AR ile Uzaktan Destek</w:t>
      </w:r>
    </w:p>
    <w:p w14:paraId="3328D995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Uzmanlar teknisyenin gördüklerini izleyebilir ve canlı görüntüye notlar ekleyerek uzaktan rehberlik sunabilir.</w:t>
      </w:r>
    </w:p>
    <w:p w14:paraId="413004EB" w14:textId="3EFD858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A397267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68. Dijital Konu</w:t>
      </w:r>
    </w:p>
    <w:p w14:paraId="38E6BAC0" w14:textId="32873D7E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Ürün tasarımından operasyona kadar tüm veri izlerini içerir. VR görselleştirmeleri, öğrencilerin bu yaşam döngüsünü takip etmelerine yardımcı olur.</w:t>
      </w:r>
    </w:p>
    <w:p w14:paraId="06972FB8" w14:textId="1EF8668F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10E62C2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69. Akıllı Sensörler</w:t>
      </w:r>
    </w:p>
    <w:p w14:paraId="4FEFA02A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Fiziksel değişkenleri ölçen ve verileri XR ortamlarına gönderen cihazlar.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Örnek: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Bir sensör, sanal bir göstergede görüntülenen tork verilerini gönderir.</w:t>
      </w:r>
    </w:p>
    <w:p w14:paraId="36E0567B" w14:textId="3A833F9C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76283C0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70. Edge Bilişim</w:t>
      </w:r>
    </w:p>
    <w:p w14:paraId="79653922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Verileri bulutta değil, kaynağına yakın bir yerde işler.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Kullanım: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AR üretim uygulamalarında gecikmeyi azaltır.</w:t>
      </w:r>
    </w:p>
    <w:p w14:paraId="3B4DCC21" w14:textId="582C1E55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29CF4B7" w14:textId="7304FC86" w:rsidR="008261B3" w:rsidRPr="00BD0103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BD0103">
        <w:rPr>
          <w:rFonts w:eastAsia="Times New Roman"/>
          <w:b/>
          <w:bCs/>
          <w:sz w:val="22"/>
          <w:szCs w:val="22"/>
          <w:lang w:val="it-IT" w:eastAsia="tr-TR"/>
        </w:rPr>
        <w:t>BÖLÜM V – TASARIM, GELİŞTİRME VE ÖĞRETİM METODOLOJİSİ</w:t>
      </w:r>
    </w:p>
    <w:p w14:paraId="4A64EB71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71. Öğretim Tasarımı</w:t>
      </w:r>
    </w:p>
    <w:p w14:paraId="1CA93B86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Etkili öğrenme deneyimleri yaratmanın yapılandırılmış süreci.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XR'de bu, net öğrenme çıktıları elde eden etkileşimli görevler tasarlamak anlamına gelir.</w:t>
      </w:r>
    </w:p>
    <w:p w14:paraId="235D459E" w14:textId="21589964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C44923E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72. ADDIE Modeli</w:t>
      </w:r>
    </w:p>
    <w:p w14:paraId="7DAB382D" w14:textId="323DB15D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Beş adımlı çerçeve: </w:t>
      </w: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Analiz – Tasarım – Geliştirme – Uygulama – Değerlendirme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. Her aşama, VR/AR derslerinin sistematik olarak geliştirilmesini sağlar.</w:t>
      </w:r>
    </w:p>
    <w:p w14:paraId="2C970684" w14:textId="5F015CC8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8E1CCA5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73. SAM Modeli (Ardışık Yaklaşım)</w:t>
      </w:r>
    </w:p>
    <w:p w14:paraId="4974B5D9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lastRenderedPageBreak/>
        <w:t>Uzun planlama aşamaları yerine hızlı prototiplere ve kullanıcı geri bildirimlerine odaklanan çevik bir yaklaşım.</w:t>
      </w:r>
    </w:p>
    <w:p w14:paraId="1D7132DB" w14:textId="52513B1F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AB8BA0D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74. Hikaye Panosu</w:t>
      </w:r>
    </w:p>
    <w:p w14:paraId="3BC64AEE" w14:textId="79FE135D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VR prodüksiyonundan önce sahneleri, etkileşimleri ve diyalogları özetleyen görsel plan. Tasarım hatalarını önler ve pedagojik akışı sağlar.</w:t>
      </w:r>
    </w:p>
    <w:p w14:paraId="41356DDE" w14:textId="115605A2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9C4BC95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75. Bilişsel Yük Yönetimi</w:t>
      </w:r>
    </w:p>
    <w:p w14:paraId="4B837F4A" w14:textId="7C9D7DCB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Öğrencilerin çok fazla bilgiyle boğulmamasını sağlayın. XR'da net talimatlar, renk kodlaması ve kısa modüller kullanın.</w:t>
      </w:r>
    </w:p>
    <w:p w14:paraId="0EB70796" w14:textId="2C22C483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EAAC6D5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76. Kullanıcı Arayüzü (UI) Tasarımı</w:t>
      </w:r>
    </w:p>
    <w:p w14:paraId="189A9BD8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3 boyutlu alanda görülebilen sezgisel menüler, ikonlar ve gezinme öğeleri oluşturma.</w:t>
      </w:r>
    </w:p>
    <w:p w14:paraId="7E59655D" w14:textId="4CD992F5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6928DF5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77. Kullanıcı Deneyimi (UX) Tasarımı</w:t>
      </w:r>
    </w:p>
    <w:p w14:paraId="7F5CBC81" w14:textId="49877A18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Rahatlık, netlik ve etkileşime odaklanır. </w:t>
      </w:r>
      <w:r w:rsidR="001E497E"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Akıcı geçişler ve doğal etkileşimler, akılda kalıcılığı artırır.</w:t>
      </w:r>
    </w:p>
    <w:p w14:paraId="23B88C2A" w14:textId="51E791C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9E5DEED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78. Erişilebilirlik</w:t>
      </w:r>
    </w:p>
    <w:p w14:paraId="02A628BB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Engelli bireyler için altyazı, açıklamalı altyazı ve sesli komutlar aracılığıyla sürükleyici içeriklerin uyarlanması.</w:t>
      </w:r>
    </w:p>
    <w:p w14:paraId="3B754083" w14:textId="3BD051CA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C38AC60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79. Kapsayıcılık</w:t>
      </w:r>
    </w:p>
    <w:p w14:paraId="45398DA1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Herkesin temsil edildiğini ve hoş karşılandığını hissetmesini sağlayarak, farklı kullanıcıları temsil eden içerikler tasarlamak.</w:t>
      </w:r>
    </w:p>
    <w:p w14:paraId="4BFB4084" w14:textId="41DE8BB3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0E6D86E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80. Yerelleştirme</w:t>
      </w:r>
    </w:p>
    <w:p w14:paraId="3309AA96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Çok kültürlü sınıfları desteklemek için arayüzleri, talimatları ve sesleri yerel dillere çevirmek.</w:t>
      </w:r>
    </w:p>
    <w:p w14:paraId="14E1FFEF" w14:textId="11A2194A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D241EB9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81. Test Etme ve Hata Ayıklama</w:t>
      </w:r>
    </w:p>
    <w:p w14:paraId="2DBB6574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Sınıfa dağıtılmadan önce teknik veya kullanılabilirlik sorunlarının tespiti.</w:t>
      </w:r>
    </w:p>
    <w:p w14:paraId="092FE4D1" w14:textId="12B0D565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D69D8F5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82. Pilot Uygulama</w:t>
      </w:r>
    </w:p>
    <w:p w14:paraId="30B4D6DE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Sınırlı bir grupla iyileştirme geri bildirimi toplamak amacıyla bir VR modülünün küçük ölçekli testi.</w:t>
      </w:r>
    </w:p>
    <w:p w14:paraId="24A3CE67" w14:textId="24F74F4C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B321165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83. Biçimlendirici Değerlendirme</w:t>
      </w:r>
    </w:p>
    <w:p w14:paraId="0AD23094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Gelişim sırasında sürekli değerlendirme; öğrenme hedeflerinin sonuçlarla uyumlu kalmasını sağlar.</w:t>
      </w:r>
    </w:p>
    <w:p w14:paraId="3C9E4BEC" w14:textId="3EA9D4A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FD37261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84. Toplu Değerlendirme</w:t>
      </w:r>
    </w:p>
    <w:p w14:paraId="0DD7BE52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Tamamlandıktan sonra yapılan son değerlendirme; sürükleyici öğrenmenin etkinliğini ve etkisini ölçer.</w:t>
      </w:r>
    </w:p>
    <w:p w14:paraId="28AD036B" w14:textId="144FCD6F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068D91F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85. Geri Bildirim Döngüsü</w:t>
      </w:r>
    </w:p>
    <w:p w14:paraId="215E250C" w14:textId="0E757A2D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Kullanıcı performansını gözlemleme, verileri analiz etme ve içeriği iyileştirme döngüsü. Sürekli kalite iyileştirmenin ayrılmaz bir parçasıdır.</w:t>
      </w:r>
    </w:p>
    <w:p w14:paraId="33C00C56" w14:textId="1D97C3B1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9A603F3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86. Öğrenme Çıktısı Ölçümü</w:t>
      </w:r>
    </w:p>
    <w:p w14:paraId="20F270C6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Beceri edinimini belirlemek için nicel ve nitel yöntemler (puanlar, gözlemler, analizler) kullanılır.</w:t>
      </w:r>
    </w:p>
    <w:p w14:paraId="0FDD1A33" w14:textId="4BDCC95E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042C7D5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87. Öğrenme Yönetim Sistemleri (LMS) ile Entegrasyon</w:t>
      </w:r>
    </w:p>
    <w:p w14:paraId="0CF8FDCA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Katılımı, puanları ve dijital sertifikaları kaydetmek için XR modüllerini Moodle veya Canvas ile bağlama.</w:t>
      </w:r>
    </w:p>
    <w:p w14:paraId="472CE5D4" w14:textId="7025FDC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079DFBE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88. Mikro Kimlik Bilgileri ve Rozetler</w:t>
      </w:r>
    </w:p>
    <w:p w14:paraId="7E893ACF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lastRenderedPageBreak/>
        <w:t>XR eğitimlerinden kazanılan belirli becerileri temsil eden küçük dijital sertifikalar.</w:t>
      </w:r>
    </w:p>
    <w:p w14:paraId="71A21FA4" w14:textId="7C84B07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3A4CDF0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89. XR'de Öğretmen Eğitimi</w:t>
      </w:r>
    </w:p>
    <w:p w14:paraId="147D57A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Eğitimcilerin VR/AR dersleri oluşturabilmelerini, yönetebilmelerini ve değerlendirebilmelerini sağlayan profesyonel gelişim programları.</w:t>
      </w:r>
    </w:p>
    <w:p w14:paraId="2798E8C1" w14:textId="097215C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025FF5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90. Sektör Ortaklarıyla İşbirliği</w:t>
      </w:r>
    </w:p>
    <w:p w14:paraId="3CC19488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Gerçek işyeri prosedürlerini yansıtan, alaka düzeyini ve istihdam edilebilirliği artıran XR modüllerinin ortak geliştirilmesi.</w:t>
      </w:r>
    </w:p>
    <w:p w14:paraId="1B52B8FD" w14:textId="40E54F3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F8F8831" w14:textId="4A96BBA6" w:rsidR="008261B3" w:rsidRPr="006243DE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BÖLÜM VI – ETİK, GÜVENLİK, SÜRDÜRÜLEBİLİRLİK VE SOSYAL ETKİ</w:t>
      </w:r>
    </w:p>
    <w:p w14:paraId="5068A82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91. Dijital Etik</w:t>
      </w:r>
    </w:p>
    <w:p w14:paraId="5A08A129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XR teknolojilerinin sorumlu bir şekilde kullanılmasına rehberlik eden ahlaki ilkeler.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 xml:space="preserve">Şeffaflık, kullanıcı onayı ve kişisel verilerin kötüye kullanılmasının önlenmesini içerir.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Mesleki Eğitim Bağlamı: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Öğretmenler, simülasyonların gizliliği ihlal etmemesini veya zararlı içerik göstermemesini sağlamalıdır.</w:t>
      </w:r>
    </w:p>
    <w:p w14:paraId="181B816E" w14:textId="13A9B3DD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2412323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92. Veri Gizliliği ve Koruması</w:t>
      </w:r>
    </w:p>
    <w:p w14:paraId="47EDEF2C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Başlıklar ve XR yazılımları hassas bilgiler (göz hareketi, biyometri, konum) toplayabilir.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AB GDPR düzenlemelerine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uygun </w:t>
      </w:r>
      <w:proofErr w:type="gram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olmalıdır .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Öğrencilere hangi verilerin neden toplandığı konusunda bilgi verilmelidir.</w:t>
      </w:r>
    </w:p>
    <w:p w14:paraId="0DFD55C3" w14:textId="7065CF9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ACFC719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93. Psikolojik Güvenlik</w:t>
      </w:r>
    </w:p>
    <w:p w14:paraId="2015D8D5" w14:textId="2725176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VR yoğun olabilir; bazı öğrenciler stres veya rahatsızlık hissedebilir. Eğitimciler tepkileri izlemeli ve duygusal açıdan güvenli simülasyonlar tasarlamalıdır.</w:t>
      </w:r>
    </w:p>
    <w:p w14:paraId="012C398D" w14:textId="0CDAD24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8A8855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94. Sağlık ve Güvenlik Mevzuatı</w:t>
      </w:r>
    </w:p>
    <w:p w14:paraId="1410B134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Öğrenciler XR ekipmanlarını gözetim altında ve net fiziksel sınırlarla kullanmalıdır.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Öneri: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Kullanıcı başına 2 × 2 metrelik güvenli bölge; 20-30 dakikada bir düzenli molalar.</w:t>
      </w:r>
    </w:p>
    <w:p w14:paraId="5F6ADF42" w14:textId="41C23E5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203D47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95. Ergonomi ve Konfor</w:t>
      </w:r>
    </w:p>
    <w:p w14:paraId="07FB719E" w14:textId="40EA946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Kulaklığın doğru şekilde takılması, ayarlanabilir kayışlar ve hafif denge yorgunluğu azaltır. Öğretmenler, uzun süreli kullanım için doğru duruşu öğretmelidir.</w:t>
      </w:r>
    </w:p>
    <w:p w14:paraId="54426256" w14:textId="53DD96A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1C34FF7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96. Hareket Tutması (Siber Tutma)</w:t>
      </w:r>
    </w:p>
    <w:p w14:paraId="0CDF7E97" w14:textId="1EFAAD4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Görsel-vestibüler uyumsuzluğun neden olduğu yaygın bir yan etki. Yüksek kare hızı, sabit ufuk çizgisi ve kısa oturumlarla azaltılır.</w:t>
      </w:r>
    </w:p>
    <w:p w14:paraId="750821BF" w14:textId="76EA17E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40393B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97. Dijital Refah</w:t>
      </w:r>
    </w:p>
    <w:p w14:paraId="2847EDDD" w14:textId="12E7314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Teknolojiyle sağlıklı ilişkiler sürdürmek. Molaları, dengeli ekran süresini ve VR çalışmasının yanı sıra insan etkileşimini teşvik eder.</w:t>
      </w:r>
    </w:p>
    <w:p w14:paraId="6A7D0B34" w14:textId="0DA2F2F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A23B483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98. Erişilebilirlik ve Kapsayıcılık</w:t>
      </w:r>
    </w:p>
    <w:p w14:paraId="26D0F1A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Engelliler de dahil olmak üzere tüm öğrencilerin uyarlanabilir arayüzler, anlatım veya ses kontrolü aracılığıyla XR'yi kullanabilmesini sağlamak.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Örnek: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Görme engelli öğrenciler için altyazılı güvenlik videoları veya dokunsal geri bildirim.</w:t>
      </w:r>
    </w:p>
    <w:p w14:paraId="38D2D135" w14:textId="3F4F107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AB0B3A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99. XR Eğitiminde Toplumsal Cinsiyet Eşitliği</w:t>
      </w:r>
    </w:p>
    <w:p w14:paraId="37E9AA06" w14:textId="0289B61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Erkek ve kız öğrencilerin teknik XR faaliyetlerine eşit katılımını teşvik etmek. Kapsayıcı temsil, inovasyonu ve sosyal dengeyi iyileştirir.</w:t>
      </w:r>
    </w:p>
    <w:p w14:paraId="1A2C682C" w14:textId="5736B9C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4A5181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lastRenderedPageBreak/>
        <w:t>100. Etik Senaryo Tasarımı</w:t>
      </w:r>
    </w:p>
    <w:p w14:paraId="12E697BF" w14:textId="797F505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Simülasyonlar, kalıp yargıları veya travmaları pekiştirmekten kaçınmalıdır. Tüm senaryolar, çok kültürlü öğrenme ortamlarında empati, saygı ve adaleti teşvik etmelidir.</w:t>
      </w:r>
    </w:p>
    <w:p w14:paraId="3358397A" w14:textId="0D79E112" w:rsidR="008261B3" w:rsidRPr="006243DE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BÖLÜM VII – SÜRDÜRÜLEBİLİRLİK, ÇEVRE VE EKONOMİK BOYUT</w:t>
      </w:r>
    </w:p>
    <w:p w14:paraId="5AA1D4E9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101. Sürdürülebilir Öğrenme Ortamları</w:t>
      </w:r>
    </w:p>
    <w:p w14:paraId="0D71D57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XR kullanımı kaynak israfını azaltır: daha az malzeme, daha az seyahat ve daha küçük ekolojik ayak izleri.</w:t>
      </w:r>
    </w:p>
    <w:p w14:paraId="63165858" w14:textId="17BC2FD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B481151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102. Yeşil Teknolojiler ve Dijital Geçiş</w:t>
      </w:r>
    </w:p>
    <w:p w14:paraId="46CD391A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Yeşil Mutabakat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ve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Döngüsel Ekonomi hedeflerini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destekleyen dijital araçları teşvik </w:t>
      </w:r>
      <w:proofErr w:type="gram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ediyor .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VR, inşaat öncesinde enerji verimli tasarımların modellenmesine yardımcı oluyor.</w:t>
      </w:r>
    </w:p>
    <w:p w14:paraId="4A146AD8" w14:textId="2983AC0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C53B67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103. Maliyet Etkinliği ve Yatırım Getirisi</w:t>
      </w:r>
    </w:p>
    <w:p w14:paraId="028CA0F9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Donanım yatırımı yüksek olsa da, yeniden kullanılabilir simülasyonlar ve azalan kazalar nedeniyle uzun vadeli maliyetler düşüyor.</w:t>
      </w:r>
    </w:p>
    <w:p w14:paraId="68080F7A" w14:textId="3B6ABA5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8469CC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104. Kaynak Paylaşımı</w:t>
      </w:r>
    </w:p>
    <w:p w14:paraId="67FA6160" w14:textId="790E2B5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Açık XR içeriği ve topluluk tarafından geliştirilen modeller, tekrarları azaltır ve okullar arasında iş birliğini teşvik eder.</w:t>
      </w:r>
    </w:p>
    <w:p w14:paraId="0B769837" w14:textId="087A9D5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FBA1E84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105. Kurumsal Hazırlık</w:t>
      </w:r>
    </w:p>
    <w:p w14:paraId="02319210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Okullar XR'ı benimsemeden önce altyapıyı, öğretmenlerin hazırlığını ve güvenlik protokollerini değerlendirmelidir.</w:t>
      </w:r>
    </w:p>
    <w:p w14:paraId="42BD16B3" w14:textId="62F35D0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B1CB54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106. Tedarik ve Lisanslama</w:t>
      </w:r>
    </w:p>
    <w:p w14:paraId="47637D59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Kurumların yasal yazılım sürümlerini seçmeleri, lisans sürelerini doğrulamaları ve cihaz kayıtlarını etik bir şekilde yönetmeleri gerekiyor.</w:t>
      </w:r>
    </w:p>
    <w:p w14:paraId="4ECC9247" w14:textId="2D4600B6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9148A8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107. Müfredat Entegrasyonu</w:t>
      </w:r>
    </w:p>
    <w:p w14:paraId="44143E7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Kapsamlı modüller, resmi ders çıktıları ve mesleki standartlarla uyumlu olmalıdır.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Örnek: İş Sağlığı ve Güvenliği ünitesine "VR Makine Güvenliği" dersinin entegre edilmesi.</w:t>
      </w:r>
    </w:p>
    <w:p w14:paraId="57ADC6CE" w14:textId="71960E0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0B0A9AC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108. Akreditasyon ve Tanınma</w:t>
      </w:r>
    </w:p>
    <w:p w14:paraId="546A0758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XR kullanan kursların hala ulusal akreditasyon kriterlerini karşılaması ve yeterliliklerin geçerliliğini sağlaması gerekir.</w:t>
      </w:r>
    </w:p>
    <w:p w14:paraId="02A8AF56" w14:textId="24A5CA96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C5B2D1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109. Ortaklıklar ve Ekosistemler</w:t>
      </w:r>
    </w:p>
    <w:p w14:paraId="70DDA3B2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Okullar, üniversiteler, KOBİ'ler ve belediyeler arasındaki iş birliği, benimsenmeyi hızlandırır.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Bölgesel XR laboratuvarları, birden fazla mesleki eğitim kurumuna hizmet verebilir.</w:t>
      </w:r>
    </w:p>
    <w:p w14:paraId="01DDDA6E" w14:textId="0759A97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7115DB1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110. Açık Eğitim Kaynakları (OER)</w:t>
      </w:r>
    </w:p>
    <w:p w14:paraId="30441DD4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Eğitimcilerin Creative Commons lisansları altında yeniden kullanabilecekleri, uyarlayabilecekleri ve paylaşabilecekleri, serbestçe erişilebilen VR/AR materyalleri.</w:t>
      </w:r>
    </w:p>
    <w:p w14:paraId="40392648" w14:textId="15C642C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B7E70F2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111. Kamu-Özel İşbirliği</w:t>
      </w:r>
    </w:p>
    <w:p w14:paraId="6CBFD71E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Sanayi ve okullar arasındaki ortak projeler, gerçek operasyonları yansıtan, gerçekçi ve güncel simülasyonlar ortaya çıkarıyor.</w:t>
      </w:r>
    </w:p>
    <w:p w14:paraId="16AC869F" w14:textId="71FD516A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3B54AD0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112. Yerel ve Bölgesel Kalkınma</w:t>
      </w:r>
    </w:p>
    <w:p w14:paraId="0D04119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XR teknolojileri yatırım çekebilir, inovasyon merkezleri yaratabilir ve dijital istihdam fırsatlarını artırabilir.</w:t>
      </w:r>
    </w:p>
    <w:p w14:paraId="7023836D" w14:textId="1E29506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D75E7E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113. XR'de Girişimcilik</w:t>
      </w:r>
    </w:p>
    <w:p w14:paraId="4F4F6EB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Öğrenciler VR içerikleri oluşturabilir, tasarım stüdyoları kurabilir veya simülasyon geliştirme alanında çalışabilirler.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Yaratıcılığı ve serbest çalışmayı teşvik eder.</w:t>
      </w:r>
    </w:p>
    <w:p w14:paraId="3556AFAE" w14:textId="31FDA9A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99E7A34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114. Dijital Ekosistem Düşüncesi</w:t>
      </w:r>
    </w:p>
    <w:p w14:paraId="2FC30E7C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VR/AR çözümlerinin donanım, yazılım, ağlar ve insan becerilerini tek bir öğrenme sisteminde birleştirdiğini anlamak.</w:t>
      </w:r>
    </w:p>
    <w:p w14:paraId="690F6C9B" w14:textId="6B6139C9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FC6740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115. Dijital Ekipmanların Dairesel Kullanımı</w:t>
      </w:r>
    </w:p>
    <w:p w14:paraId="4B5E758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Sürdürülebilirliği sağlamak için XR cihazlarının onarımını, geri dönüşümünü ve bağışlanmasını teşvik eder.</w:t>
      </w:r>
    </w:p>
    <w:p w14:paraId="01CFAA57" w14:textId="7C882EAD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6C68D7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116. Kurumsal Politika ve Yönetişim</w:t>
      </w:r>
    </w:p>
    <w:p w14:paraId="5A2E0179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Her okul, veri kullanımı, cihaz paylaşımı, bakımı ve kapsayıcılığına ilişkin politikalar geliştirmelidir.</w:t>
      </w:r>
    </w:p>
    <w:p w14:paraId="31FB5760" w14:textId="0BF2CBF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253BE3E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117. Öğretmenin Etik Rolü</w:t>
      </w:r>
    </w:p>
    <w:p w14:paraId="31B60520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Öğretmenler, XR kullanımı sırasında dijital sorumluluk, adalet ve eşit fırsatların sağlanması konusunda rehberlik etmelidir.</w:t>
      </w:r>
    </w:p>
    <w:p w14:paraId="2EEF63BC" w14:textId="0F73A28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0D1E53C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118. Öğrenci Dijital Vatandaşlığı</w:t>
      </w:r>
    </w:p>
    <w:p w14:paraId="7F5402A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Öğrenciler, çevrimiçi ve sanal ortamlarda etik davranmayı, akranlarına ve fikri mülkiyete saygı göstermeyi öğrenirler.</w:t>
      </w:r>
    </w:p>
    <w:p w14:paraId="03CB94C1" w14:textId="6372616F" w:rsidR="008261B3" w:rsidRPr="006243DE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BÖLÜM VIII – ARAŞTIRMA, POLİTİKA VE GELECEĞE YÖNLENDİRMELER</w:t>
      </w:r>
    </w:p>
    <w:p w14:paraId="34166E4E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119. Dijital Eğitim Eylem Planı (2021–2027)</w:t>
      </w:r>
    </w:p>
    <w:p w14:paraId="5B927708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AB'nin tüm üye devletleri XR gibi dijital araçları eğitim ve öğretime entegre etmeye teşvik eden stratejisi.</w:t>
      </w:r>
    </w:p>
    <w:p w14:paraId="1CED5FCD" w14:textId="3610C3B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980F28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120. UNESCO Eğitimin Geleceği</w:t>
      </w:r>
    </w:p>
    <w:p w14:paraId="42E5ABBE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Teknoloji destekli yaşam boyu öğrenmeye yönelik küresel vizyon; sürükleyici öğrenmeye eşit erişimi savunur.</w:t>
      </w:r>
    </w:p>
    <w:p w14:paraId="7FFA6B6A" w14:textId="3C319FB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4F7C814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121. OECD Gelecek İçin Beceriler</w:t>
      </w:r>
    </w:p>
    <w:p w14:paraId="70C389C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XR'nin doğrudan beslediği karmaşık problem çözme, iş birliği ve dijital okuryazarlık becerilerine olan ihtiyacı vurgular.</w:t>
      </w:r>
    </w:p>
    <w:p w14:paraId="188A2B7B" w14:textId="56C8436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7B2D58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122. Ulusal Eğitim Politikaları</w:t>
      </w:r>
    </w:p>
    <w:p w14:paraId="72B6F06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Ülkeler, okullarda XR benimsenmesine yönelik çerçeveleri, çoğunlukla inovasyon ve dijitalleşme stratejileri çerçevesinde tanımlıyor.</w:t>
      </w:r>
    </w:p>
    <w:p w14:paraId="6F30FD53" w14:textId="5BCFD60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57340A1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123. Araştırma ve İnovasyon Projeleri</w:t>
      </w:r>
    </w:p>
    <w:p w14:paraId="7183347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Erasmus</w:t>
      </w:r>
      <w:proofErr w:type="gramStart"/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+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,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Horizon Europe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ve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Digital Europe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gibi AB programları, mesleki eğitim ve öğretimin modernizasyonu için XR gelişimini finanse ediyor.</w:t>
      </w:r>
    </w:p>
    <w:p w14:paraId="51814446" w14:textId="4F51FF0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725195A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124. Kanıta Dayalı Uygulama</w:t>
      </w:r>
    </w:p>
    <w:p w14:paraId="154A8F6E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Öğretmenler ve araştırmacılar, yeterlilik kazanımında XR etkinliğini kanıtlamak için öğrenme çıktılarını istatistiksel olarak değerlendirmektedirler.</w:t>
      </w:r>
    </w:p>
    <w:p w14:paraId="686D1A7E" w14:textId="17B112B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C9E4212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125. Eğitim Veri Standartları</w:t>
      </w:r>
    </w:p>
    <w:p w14:paraId="1E596E6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lastRenderedPageBreak/>
        <w:t xml:space="preserve">VR analizlerini öğrenme yönetim sistemlerine bağlamak için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xAPI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ve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SCORM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gibi birlikte çalışabilir standartları </w:t>
      </w:r>
      <w:proofErr w:type="gram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kullanın .</w:t>
      </w:r>
      <w:proofErr w:type="gramEnd"/>
    </w:p>
    <w:p w14:paraId="67ED324B" w14:textId="7F27131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1AF4F06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126. Yapay Zeka Destekli Kişiselleştirilmiş Öğrenme</w:t>
      </w:r>
    </w:p>
    <w:p w14:paraId="0D77629D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Yapay zeka, öğrenme yollarını ayarlayarak kişiselleştirilmiş geri bildirim ve uyarlanabilir hız sunar.</w:t>
      </w:r>
    </w:p>
    <w:p w14:paraId="380ED4D0" w14:textId="1915920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C06F6B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127. Sanal Araştırma Laboratuvarları</w:t>
      </w:r>
    </w:p>
    <w:p w14:paraId="2234C64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Öğrenciler, deney yapmak ve veri toplamak amacıyla üniversite veya şirket laboratuvarlarının dijital kopyalarına erişebilirler.</w:t>
      </w:r>
    </w:p>
    <w:p w14:paraId="5DA7FAF8" w14:textId="6B8F396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053E020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128. Yaşam Boyu Öğrenme ve Beceri Geliştirme</w:t>
      </w:r>
    </w:p>
    <w:p w14:paraId="7CC9F1E8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XR, eğitimi okulların ötesine, yetişkin öğrencilere, KOBİ'lere ve yeniden eğitim programlarına genişletiyor.</w:t>
      </w:r>
    </w:p>
    <w:p w14:paraId="6A5239A7" w14:textId="709A2D16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F7ABCE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129. Uluslararası İşbirliği</w:t>
      </w:r>
    </w:p>
    <w:p w14:paraId="52AE69DF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Sanal değişim programları, farklı ülkelerden gelen öğrencilerin ortak VR ortamlarında birlikte çalışmasını sağlar.</w:t>
      </w:r>
    </w:p>
    <w:p w14:paraId="08207C70" w14:textId="65C08AD1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15281C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130. Sosyal ve Kültürel Öğrenme</w:t>
      </w:r>
    </w:p>
    <w:p w14:paraId="354A2FEC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Sürükleyici senaryolar empatiyi, ekip çalışmasını ve kültürlerarası anlayışı öğretebilir.</w:t>
      </w:r>
    </w:p>
    <w:p w14:paraId="7A1D4F24" w14:textId="269A6E6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172132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131. Hibrit Gerçeklik Kampüsleri</w:t>
      </w:r>
    </w:p>
    <w:p w14:paraId="2056DCB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Geleceğin kurumları, kesintisiz öğrenme deneyimleri için fiziksel atölyeleri ve sanal ortamları bir araya getirecek.</w:t>
      </w:r>
    </w:p>
    <w:p w14:paraId="3F5D84B6" w14:textId="0D8B717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1B9111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132. 5G ve Yeni Nesil Bağlantı</w:t>
      </w:r>
    </w:p>
    <w:p w14:paraId="33D2349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Sorunsuz çok kullanıcılı VR/AR akışı için yüksek hızlı, düşük gecikmeli ağlar gereklidir.</w:t>
      </w:r>
    </w:p>
    <w:p w14:paraId="22386165" w14:textId="0A7678D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7FD36AE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133. Beyin-Bilgisayar Arayüzleri (BCI)</w:t>
      </w:r>
    </w:p>
    <w:p w14:paraId="7827ACFD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Beyin sinyalleri ile dijital cihazlar arasında doğrudan iletişime olanak tanıyan, ultra sürükleyici deneyimler yaratan yeni sistemler ortaya çıkıyor.</w:t>
      </w:r>
    </w:p>
    <w:p w14:paraId="252468D0" w14:textId="398DA81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0D5B3A1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134. Holografik Ekranlar</w:t>
      </w:r>
    </w:p>
    <w:p w14:paraId="2158E695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Başlık kullanılmadan uzaya yansıtılan 3 boyutlu görseller.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Sınıf içi gösteriler için potansiyel bir gelecek alternatifi.</w:t>
      </w:r>
    </w:p>
    <w:p w14:paraId="6A92935B" w14:textId="7E06749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42BFC5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135. Genişletilmiş Gerçeklik (XR) Değerlendirmesi</w:t>
      </w:r>
    </w:p>
    <w:p w14:paraId="767D45F6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Psikomotor, bilişsel ve duygusal öğrenme çıktılarını kapsayıcı senaryolar içerisinde birleştiren bütünsel değerlendirme.</w:t>
      </w:r>
    </w:p>
    <w:p w14:paraId="3EF1E7D4" w14:textId="58B3D6AA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157746C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136. Sürükleyici Hikaye Anlatımı</w:t>
      </w:r>
    </w:p>
    <w:p w14:paraId="731A4D3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Duygusal olarak ilgi çekici VR dersleri oluşturmak için anlatım tekniklerini kullanarak hafızada kalıcılığı artırıyoruz.</w:t>
      </w:r>
    </w:p>
    <w:p w14:paraId="53112C18" w14:textId="063F23E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4D56AF6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137. Gerçekliklerarası İşbirliği</w:t>
      </w:r>
    </w:p>
    <w:p w14:paraId="1A753BD5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Aynı dijital model üzerinde çalışan farklı kullanıcıların VR, AR ve masaüstü arayüzlerini eş zamanlı olarak kullanması.</w:t>
      </w:r>
    </w:p>
    <w:p w14:paraId="1E851367" w14:textId="3F504CB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24612A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138. Çok Kullanıcılı Simülasyon Platformları</w:t>
      </w:r>
    </w:p>
    <w:p w14:paraId="0546B8BC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Birden fazla öğrencinin koordineli operasyonlar gerçekleştirmesine olanak tanıyan paylaşımlı sanal fabrikalar veya hastaneler.</w:t>
      </w:r>
    </w:p>
    <w:p w14:paraId="0529C7F6" w14:textId="069B405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EE8DCAB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139. Eğitim için Açık Meta Veri Deposu</w:t>
      </w:r>
    </w:p>
    <w:p w14:paraId="36665DB8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lastRenderedPageBreak/>
        <w:t>Öğrencilerin ve öğretmenlerin kaynakları paylaşabileceği, etkinliklere katılabileceği ve küresel çapta iş birliği yapabileceği birbirine bağlı sanal dünyalar.</w:t>
      </w:r>
    </w:p>
    <w:p w14:paraId="10262E45" w14:textId="0CFF8D11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3C9B90D" w14:textId="77777777" w:rsidR="008261B3" w:rsidRPr="00BD010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140. Mesleki Eğitim ve Öğretimde XR'nin Geleceği</w:t>
      </w:r>
    </w:p>
    <w:p w14:paraId="0CCCF31B" w14:textId="77777777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2035 yılına kadar, gerçek ve sanal çalışma alanlarını bir araya getiren sürükleyici öğrenme, teknik ve mesleki eğitimde standart hale gelecektir. </w:t>
      </w:r>
      <w:r w:rsidRPr="00BD0103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Mezunlar, hibrit uygulama yoluyla hem manuel hem de dijital becerilerde ustalaşacaklardır.</w:t>
      </w:r>
    </w:p>
    <w:p w14:paraId="2D96FBF2" w14:textId="42D381A5" w:rsidR="008261B3" w:rsidRPr="00BD010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AB290C7" w14:textId="77777777" w:rsidR="006243DE" w:rsidRPr="00BD0103" w:rsidRDefault="008261B3" w:rsidP="006243DE">
      <w:pPr>
        <w:pStyle w:val="NormalWeb"/>
        <w:jc w:val="both"/>
        <w:rPr>
          <w:i/>
          <w:iCs/>
          <w:sz w:val="22"/>
          <w:szCs w:val="22"/>
          <w:lang w:val="it-IT"/>
        </w:rPr>
      </w:pPr>
      <w:r w:rsidRPr="00BD0103">
        <w:rPr>
          <w:i/>
          <w:iCs/>
          <w:sz w:val="22"/>
          <w:szCs w:val="22"/>
          <w:lang w:val="it-IT"/>
        </w:rPr>
        <w:t xml:space="preserve">Çolakoğlu, MH (2025). </w:t>
      </w:r>
      <w:r w:rsidRPr="00BD0103">
        <w:rPr>
          <w:rStyle w:val="Vurgu"/>
          <w:rFonts w:eastAsiaTheme="majorEastAsia"/>
          <w:i w:val="0"/>
          <w:iCs w:val="0"/>
          <w:sz w:val="22"/>
          <w:szCs w:val="22"/>
          <w:lang w:val="it-IT"/>
        </w:rPr>
        <w:t xml:space="preserve">Sanal, Artırılmış ve Karma Gerçeklik – Mesleki Eğitim Okulları için Açıklayıcı Sözlük (EQF Seviye 4). </w:t>
      </w:r>
      <w:r w:rsidRPr="00BD0103">
        <w:rPr>
          <w:i/>
          <w:iCs/>
          <w:sz w:val="22"/>
          <w:szCs w:val="22"/>
          <w:lang w:val="it-IT"/>
        </w:rPr>
        <w:t>KAPADOKYA YENİLİK ENSTİTÜSÜ.</w:t>
      </w:r>
    </w:p>
    <w:p w14:paraId="6081F059" w14:textId="7187D323" w:rsidR="008261B3" w:rsidRPr="006243DE" w:rsidRDefault="008261B3" w:rsidP="006243DE">
      <w:pPr>
        <w:pStyle w:val="NormalWeb"/>
        <w:jc w:val="both"/>
        <w:rPr>
          <w:i/>
          <w:iCs/>
          <w:sz w:val="22"/>
          <w:szCs w:val="22"/>
          <w:lang w:val="en-GB"/>
        </w:rPr>
      </w:pPr>
      <w:r w:rsidRPr="00BD0103">
        <w:rPr>
          <w:i/>
          <w:iCs/>
          <w:sz w:val="22"/>
          <w:szCs w:val="22"/>
          <w:lang w:val="it-IT"/>
        </w:rPr>
        <w:t xml:space="preserve">[CC BY 4.0] </w:t>
      </w:r>
      <w:r w:rsidR="006243DE" w:rsidRPr="00BD0103">
        <w:rPr>
          <w:i/>
          <w:iCs/>
          <w:sz w:val="22"/>
          <w:szCs w:val="22"/>
          <w:lang w:val="it-IT"/>
        </w:rPr>
        <w:t xml:space="preserve">Materyali </w:t>
      </w:r>
      <w:r w:rsidR="006243DE" w:rsidRPr="00BD0103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it-IT"/>
        </w:rPr>
        <w:t xml:space="preserve">kopyalayın, yeniden dağıtın, yeniden düzenleyin, dönüştürün ve üzerine inşa edin . Eğitim, araştırma veya ticari amaçlarla özgürce kullanın </w:t>
      </w:r>
      <w:r w:rsidR="006243DE" w:rsidRPr="00BD0103">
        <w:rPr>
          <w:i/>
          <w:iCs/>
          <w:sz w:val="22"/>
          <w:szCs w:val="22"/>
          <w:lang w:val="it-IT"/>
        </w:rPr>
        <w:t xml:space="preserve">. Orijinal yazara ( </w:t>
      </w:r>
      <w:r w:rsidR="006243DE" w:rsidRPr="00BD0103">
        <w:rPr>
          <w:rStyle w:val="Vurgu"/>
          <w:rFonts w:eastAsiaTheme="majorEastAsia"/>
          <w:i w:val="0"/>
          <w:iCs w:val="0"/>
          <w:sz w:val="22"/>
          <w:szCs w:val="22"/>
          <w:lang w:val="it-IT"/>
        </w:rPr>
        <w:t xml:space="preserve">Mustafa Hilmi Çolakoğlu ) </w:t>
      </w:r>
      <w:r w:rsidR="006243DE" w:rsidRPr="00BD0103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it-IT"/>
        </w:rPr>
        <w:t xml:space="preserve">uygun atıf yapıldığı sürece </w:t>
      </w:r>
      <w:r w:rsidR="006243DE" w:rsidRPr="00BD0103">
        <w:rPr>
          <w:i/>
          <w:iCs/>
          <w:sz w:val="22"/>
          <w:szCs w:val="22"/>
          <w:lang w:val="it-IT"/>
        </w:rPr>
        <w:t xml:space="preserve">. </w:t>
      </w:r>
      <w:r w:rsidR="006243DE" w:rsidRPr="006243DE">
        <w:rPr>
          <w:i/>
          <w:iCs/>
          <w:sz w:val="22"/>
          <w:szCs w:val="22"/>
          <w:lang w:val="en-GB"/>
        </w:rPr>
        <w:t xml:space="preserve">Daha </w:t>
      </w:r>
      <w:proofErr w:type="spellStart"/>
      <w:r w:rsidR="006243DE" w:rsidRPr="006243DE">
        <w:rPr>
          <w:i/>
          <w:iCs/>
          <w:sz w:val="22"/>
          <w:szCs w:val="22"/>
          <w:lang w:val="en-GB"/>
        </w:rPr>
        <w:t>fazla</w:t>
      </w:r>
      <w:proofErr w:type="spellEnd"/>
      <w:r w:rsidR="006243DE" w:rsidRPr="006243DE">
        <w:rPr>
          <w:i/>
          <w:iCs/>
          <w:sz w:val="22"/>
          <w:szCs w:val="22"/>
          <w:lang w:val="en-GB"/>
        </w:rPr>
        <w:t xml:space="preserve"> </w:t>
      </w:r>
      <w:proofErr w:type="spellStart"/>
      <w:r w:rsidR="006243DE" w:rsidRPr="006243DE">
        <w:rPr>
          <w:i/>
          <w:iCs/>
          <w:sz w:val="22"/>
          <w:szCs w:val="22"/>
          <w:lang w:val="en-GB"/>
        </w:rPr>
        <w:t>bilgi</w:t>
      </w:r>
      <w:proofErr w:type="spellEnd"/>
      <w:r w:rsidR="006243DE" w:rsidRPr="006243DE">
        <w:rPr>
          <w:i/>
          <w:iCs/>
          <w:sz w:val="22"/>
          <w:szCs w:val="22"/>
          <w:lang w:val="en-GB"/>
        </w:rPr>
        <w:t xml:space="preserve"> </w:t>
      </w:r>
      <w:proofErr w:type="spellStart"/>
      <w:r w:rsidR="006243DE" w:rsidRPr="006243DE">
        <w:rPr>
          <w:i/>
          <w:iCs/>
          <w:sz w:val="22"/>
          <w:szCs w:val="22"/>
          <w:lang w:val="en-GB"/>
        </w:rPr>
        <w:t>için</w:t>
      </w:r>
      <w:proofErr w:type="spellEnd"/>
      <w:r w:rsidR="006243DE" w:rsidRPr="006243DE">
        <w:rPr>
          <w:i/>
          <w:iCs/>
          <w:sz w:val="22"/>
          <w:szCs w:val="22"/>
          <w:lang w:val="en-GB"/>
        </w:rPr>
        <w:t>: https://creativecommons.org/licenses/by/4.0/</w:t>
      </w:r>
    </w:p>
    <w:p w14:paraId="0EA80264" w14:textId="77777777" w:rsidR="00777F0A" w:rsidRPr="008261B3" w:rsidRDefault="00777F0A" w:rsidP="008261B3">
      <w:pPr>
        <w:spacing w:after="0" w:line="240" w:lineRule="auto"/>
        <w:rPr>
          <w:rFonts w:ascii="Calibri" w:hAnsi="Calibri" w:cs="Calibri"/>
          <w:sz w:val="22"/>
          <w:szCs w:val="22"/>
          <w:lang w:val="tr-TR"/>
        </w:rPr>
      </w:pPr>
    </w:p>
    <w:sectPr w:rsidR="00777F0A" w:rsidRPr="008261B3" w:rsidSect="00BD0103">
      <w:headerReference w:type="default" r:id="rId9"/>
      <w:footerReference w:type="default" r:id="rId10"/>
      <w:pgSz w:w="11906" w:h="16838"/>
      <w:pgMar w:top="426" w:right="1417" w:bottom="1417" w:left="1417" w:header="708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58DB1" w14:textId="77777777" w:rsidR="00B44D7B" w:rsidRDefault="00B44D7B" w:rsidP="006243DE">
      <w:pPr>
        <w:spacing w:after="0" w:line="240" w:lineRule="auto"/>
      </w:pPr>
      <w:r>
        <w:separator/>
      </w:r>
    </w:p>
  </w:endnote>
  <w:endnote w:type="continuationSeparator" w:id="0">
    <w:p w14:paraId="6B24F11B" w14:textId="77777777" w:rsidR="00B44D7B" w:rsidRDefault="00B44D7B" w:rsidP="0062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E4FE3" w14:textId="6F576342" w:rsidR="00BD0103" w:rsidRDefault="00BD0103">
    <w:pPr>
      <w:pStyle w:val="AltBilgi"/>
    </w:pPr>
    <w:r>
      <w:rPr>
        <w:noProof/>
      </w:rPr>
      <w:drawing>
        <wp:inline distT="0" distB="0" distL="0" distR="0" wp14:anchorId="7E233630" wp14:editId="1BD256C4">
          <wp:extent cx="5756910" cy="461010"/>
          <wp:effectExtent l="0" t="0" r="0" b="0"/>
          <wp:docPr id="74925806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45A33" w14:textId="77777777" w:rsidR="00B44D7B" w:rsidRDefault="00B44D7B" w:rsidP="006243DE">
      <w:pPr>
        <w:spacing w:after="0" w:line="240" w:lineRule="auto"/>
      </w:pPr>
      <w:r>
        <w:separator/>
      </w:r>
    </w:p>
  </w:footnote>
  <w:footnote w:type="continuationSeparator" w:id="0">
    <w:p w14:paraId="0A468A85" w14:textId="77777777" w:rsidR="00B44D7B" w:rsidRDefault="00B44D7B" w:rsidP="0062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1292926"/>
      <w:docPartObj>
        <w:docPartGallery w:val="Page Numbers (Margins)"/>
        <w:docPartUnique/>
      </w:docPartObj>
    </w:sdtPr>
    <w:sdtContent>
      <w:p w14:paraId="763238DD" w14:textId="1B460C3E" w:rsidR="006243DE" w:rsidRDefault="006243DE">
        <w:pPr>
          <w:pStyle w:val="stBilgi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6A57A4F" wp14:editId="56E724F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68592622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522F92" w14:textId="77777777" w:rsidR="006243DE" w:rsidRDefault="006243DE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tr-TR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6A57A4F" id="Dikdörtgen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te7AEAAL8DAAAOAAAAZHJzL2Uyb0RvYy54bWysU8GO0zAQvSPxD5bvNE1pt2z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" o:allowincell="f" stroked="f">
                  <v:textbox>
                    <w:txbxContent>
                      <w:p w14:paraId="45522F92" w14:textId="77777777" w:rsidR="006243DE" w:rsidRDefault="006243DE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tr-TR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7096A"/>
    <w:multiLevelType w:val="multilevel"/>
    <w:tmpl w:val="53B02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0E3EFC"/>
    <w:multiLevelType w:val="multilevel"/>
    <w:tmpl w:val="32B4B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2D78FD"/>
    <w:multiLevelType w:val="multilevel"/>
    <w:tmpl w:val="B2C4A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6272602">
    <w:abstractNumId w:val="0"/>
  </w:num>
  <w:num w:numId="2" w16cid:durableId="1797946916">
    <w:abstractNumId w:val="1"/>
  </w:num>
  <w:num w:numId="3" w16cid:durableId="269897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1B3"/>
    <w:rsid w:val="001E497E"/>
    <w:rsid w:val="0031522C"/>
    <w:rsid w:val="006243DE"/>
    <w:rsid w:val="00670C1B"/>
    <w:rsid w:val="006825CA"/>
    <w:rsid w:val="006A2B9C"/>
    <w:rsid w:val="00721A5E"/>
    <w:rsid w:val="00734185"/>
    <w:rsid w:val="007730E4"/>
    <w:rsid w:val="00777F0A"/>
    <w:rsid w:val="008156A5"/>
    <w:rsid w:val="008261B3"/>
    <w:rsid w:val="00974081"/>
    <w:rsid w:val="00B44D7B"/>
    <w:rsid w:val="00BD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225FC"/>
  <w15:chartTrackingRefBased/>
  <w15:docId w15:val="{A7035004-846C-40F0-9C2E-7A04784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26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26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26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26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26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26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26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26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26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261B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261B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261B3"/>
    <w:rPr>
      <w:rFonts w:eastAsiaTheme="majorEastAsia" w:cstheme="majorBidi"/>
      <w:color w:val="0F4761" w:themeColor="accent1" w:themeShade="BF"/>
      <w:sz w:val="28"/>
      <w:szCs w:val="28"/>
      <w:lang w:val="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261B3"/>
    <w:rPr>
      <w:rFonts w:eastAsiaTheme="majorEastAsia" w:cstheme="majorBidi"/>
      <w:i/>
      <w:iCs/>
      <w:color w:val="0F4761" w:themeColor="accent1" w:themeShade="BF"/>
      <w:lang w:val="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261B3"/>
    <w:rPr>
      <w:rFonts w:eastAsiaTheme="majorEastAsia" w:cstheme="majorBidi"/>
      <w:color w:val="0F4761" w:themeColor="accent1" w:themeShade="BF"/>
      <w:lang w:val="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261B3"/>
    <w:rPr>
      <w:rFonts w:eastAsiaTheme="majorEastAsia" w:cstheme="majorBidi"/>
      <w:i/>
      <w:iCs/>
      <w:color w:val="595959" w:themeColor="text1" w:themeTint="A6"/>
      <w:lang w:val="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261B3"/>
    <w:rPr>
      <w:rFonts w:eastAsiaTheme="majorEastAsia" w:cstheme="majorBidi"/>
      <w:color w:val="595959" w:themeColor="text1" w:themeTint="A6"/>
      <w:lang w:val="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261B3"/>
    <w:rPr>
      <w:rFonts w:eastAsiaTheme="majorEastAsia" w:cstheme="majorBidi"/>
      <w:i/>
      <w:iCs/>
      <w:color w:val="272727" w:themeColor="text1" w:themeTint="D8"/>
      <w:lang w:val="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261B3"/>
    <w:rPr>
      <w:rFonts w:eastAsiaTheme="majorEastAsia" w:cstheme="majorBidi"/>
      <w:color w:val="272727" w:themeColor="text1" w:themeTint="D8"/>
      <w:lang w:val="tr"/>
    </w:rPr>
  </w:style>
  <w:style w:type="paragraph" w:styleId="KonuBal">
    <w:name w:val="Title"/>
    <w:basedOn w:val="Normal"/>
    <w:next w:val="Normal"/>
    <w:link w:val="KonuBalChar"/>
    <w:uiPriority w:val="10"/>
    <w:qFormat/>
    <w:rsid w:val="00826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261B3"/>
    <w:rPr>
      <w:rFonts w:asciiTheme="majorHAnsi" w:eastAsiaTheme="majorEastAsia" w:hAnsiTheme="majorHAnsi" w:cstheme="majorBidi"/>
      <w:spacing w:val="-10"/>
      <w:kern w:val="28"/>
      <w:sz w:val="56"/>
      <w:szCs w:val="56"/>
      <w:lang w:val="tr"/>
    </w:rPr>
  </w:style>
  <w:style w:type="paragraph" w:styleId="Altyaz">
    <w:name w:val="Subtitle"/>
    <w:basedOn w:val="Normal"/>
    <w:next w:val="Normal"/>
    <w:link w:val="AltyazChar"/>
    <w:uiPriority w:val="11"/>
    <w:qFormat/>
    <w:rsid w:val="00826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261B3"/>
    <w:rPr>
      <w:rFonts w:eastAsiaTheme="majorEastAsia" w:cstheme="majorBidi"/>
      <w:color w:val="595959" w:themeColor="text1" w:themeTint="A6"/>
      <w:spacing w:val="15"/>
      <w:sz w:val="28"/>
      <w:szCs w:val="28"/>
      <w:lang w:val="tr"/>
    </w:rPr>
  </w:style>
  <w:style w:type="paragraph" w:styleId="Alnt">
    <w:name w:val="Quote"/>
    <w:basedOn w:val="Normal"/>
    <w:next w:val="Normal"/>
    <w:link w:val="AlntChar"/>
    <w:uiPriority w:val="29"/>
    <w:qFormat/>
    <w:rsid w:val="00826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261B3"/>
    <w:rPr>
      <w:i/>
      <w:iCs/>
      <w:color w:val="404040" w:themeColor="text1" w:themeTint="BF"/>
      <w:lang w:val="tr"/>
    </w:rPr>
  </w:style>
  <w:style w:type="paragraph" w:styleId="ListeParagraf">
    <w:name w:val="List Paragraph"/>
    <w:basedOn w:val="Normal"/>
    <w:uiPriority w:val="34"/>
    <w:qFormat/>
    <w:rsid w:val="008261B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261B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26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261B3"/>
    <w:rPr>
      <w:i/>
      <w:iCs/>
      <w:color w:val="0F4761" w:themeColor="accent1" w:themeShade="BF"/>
      <w:lang w:val="tr"/>
    </w:rPr>
  </w:style>
  <w:style w:type="character" w:styleId="GlBavuru">
    <w:name w:val="Intense Reference"/>
    <w:basedOn w:val="VarsaylanParagrafYazTipi"/>
    <w:uiPriority w:val="32"/>
    <w:qFormat/>
    <w:rsid w:val="008261B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26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8261B3"/>
    <w:rPr>
      <w:b/>
      <w:bCs/>
    </w:rPr>
  </w:style>
  <w:style w:type="character" w:styleId="Vurgu">
    <w:name w:val="Emphasis"/>
    <w:basedOn w:val="VarsaylanParagrafYazTipi"/>
    <w:uiPriority w:val="20"/>
    <w:qFormat/>
    <w:rsid w:val="008261B3"/>
    <w:rPr>
      <w:i/>
      <w:iCs/>
    </w:rPr>
  </w:style>
  <w:style w:type="paragraph" w:styleId="TBal">
    <w:name w:val="TOC Heading"/>
    <w:basedOn w:val="Balk1"/>
    <w:next w:val="Normal"/>
    <w:uiPriority w:val="39"/>
    <w:unhideWhenUsed/>
    <w:qFormat/>
    <w:rsid w:val="006243DE"/>
    <w:pPr>
      <w:spacing w:before="240" w:after="0" w:line="259" w:lineRule="auto"/>
      <w:outlineLvl w:val="9"/>
    </w:pPr>
    <w:rPr>
      <w:kern w:val="0"/>
      <w:sz w:val="32"/>
      <w:szCs w:val="32"/>
      <w:lang w:eastAsia="tr-TR"/>
      <w14:ligatures w14:val="none"/>
    </w:rPr>
  </w:style>
  <w:style w:type="paragraph" w:styleId="T1">
    <w:name w:val="toc 1"/>
    <w:basedOn w:val="Normal"/>
    <w:next w:val="Normal"/>
    <w:autoRedefine/>
    <w:uiPriority w:val="39"/>
    <w:unhideWhenUsed/>
    <w:rsid w:val="006243DE"/>
    <w:pPr>
      <w:spacing w:after="100"/>
    </w:pPr>
  </w:style>
  <w:style w:type="paragraph" w:styleId="T3">
    <w:name w:val="toc 3"/>
    <w:basedOn w:val="Normal"/>
    <w:next w:val="Normal"/>
    <w:autoRedefine/>
    <w:uiPriority w:val="39"/>
    <w:unhideWhenUsed/>
    <w:rsid w:val="006243DE"/>
    <w:pPr>
      <w:spacing w:after="100"/>
      <w:ind w:left="480"/>
    </w:pPr>
  </w:style>
  <w:style w:type="paragraph" w:styleId="T2">
    <w:name w:val="toc 2"/>
    <w:basedOn w:val="Normal"/>
    <w:next w:val="Normal"/>
    <w:autoRedefine/>
    <w:uiPriority w:val="39"/>
    <w:unhideWhenUsed/>
    <w:rsid w:val="006243DE"/>
    <w:pPr>
      <w:spacing w:after="100"/>
      <w:ind w:left="240"/>
    </w:pPr>
    <w:rPr>
      <w:rFonts w:eastAsiaTheme="minorEastAsia"/>
      <w:lang w:eastAsia="tr-TR"/>
    </w:rPr>
  </w:style>
  <w:style w:type="paragraph" w:styleId="T4">
    <w:name w:val="toc 4"/>
    <w:basedOn w:val="Normal"/>
    <w:next w:val="Normal"/>
    <w:autoRedefine/>
    <w:uiPriority w:val="39"/>
    <w:unhideWhenUsed/>
    <w:rsid w:val="006243DE"/>
    <w:pPr>
      <w:spacing w:after="100"/>
      <w:ind w:left="720"/>
    </w:pPr>
    <w:rPr>
      <w:rFonts w:eastAsiaTheme="minorEastAsia"/>
      <w:lang w:eastAsia="tr-TR"/>
    </w:rPr>
  </w:style>
  <w:style w:type="paragraph" w:styleId="T5">
    <w:name w:val="toc 5"/>
    <w:basedOn w:val="Normal"/>
    <w:next w:val="Normal"/>
    <w:autoRedefine/>
    <w:uiPriority w:val="39"/>
    <w:unhideWhenUsed/>
    <w:rsid w:val="006243DE"/>
    <w:pPr>
      <w:spacing w:after="100"/>
      <w:ind w:left="960"/>
    </w:pPr>
    <w:rPr>
      <w:rFonts w:eastAsiaTheme="minorEastAsia"/>
      <w:lang w:eastAsia="tr-TR"/>
    </w:rPr>
  </w:style>
  <w:style w:type="paragraph" w:styleId="T6">
    <w:name w:val="toc 6"/>
    <w:basedOn w:val="Normal"/>
    <w:next w:val="Normal"/>
    <w:autoRedefine/>
    <w:uiPriority w:val="39"/>
    <w:unhideWhenUsed/>
    <w:rsid w:val="006243DE"/>
    <w:pPr>
      <w:spacing w:after="100"/>
      <w:ind w:left="1200"/>
    </w:pPr>
    <w:rPr>
      <w:rFonts w:eastAsiaTheme="minorEastAsia"/>
      <w:lang w:eastAsia="tr-TR"/>
    </w:rPr>
  </w:style>
  <w:style w:type="paragraph" w:styleId="T7">
    <w:name w:val="toc 7"/>
    <w:basedOn w:val="Normal"/>
    <w:next w:val="Normal"/>
    <w:autoRedefine/>
    <w:uiPriority w:val="39"/>
    <w:unhideWhenUsed/>
    <w:rsid w:val="006243DE"/>
    <w:pPr>
      <w:spacing w:after="100"/>
      <w:ind w:left="1440"/>
    </w:pPr>
    <w:rPr>
      <w:rFonts w:eastAsiaTheme="minorEastAsia"/>
      <w:lang w:eastAsia="tr-TR"/>
    </w:rPr>
  </w:style>
  <w:style w:type="paragraph" w:styleId="T8">
    <w:name w:val="toc 8"/>
    <w:basedOn w:val="Normal"/>
    <w:next w:val="Normal"/>
    <w:autoRedefine/>
    <w:uiPriority w:val="39"/>
    <w:unhideWhenUsed/>
    <w:rsid w:val="006243DE"/>
    <w:pPr>
      <w:spacing w:after="100"/>
      <w:ind w:left="1680"/>
    </w:pPr>
    <w:rPr>
      <w:rFonts w:eastAsiaTheme="minorEastAsia"/>
      <w:lang w:eastAsia="tr-TR"/>
    </w:rPr>
  </w:style>
  <w:style w:type="paragraph" w:styleId="T9">
    <w:name w:val="toc 9"/>
    <w:basedOn w:val="Normal"/>
    <w:next w:val="Normal"/>
    <w:autoRedefine/>
    <w:uiPriority w:val="39"/>
    <w:unhideWhenUsed/>
    <w:rsid w:val="006243DE"/>
    <w:pPr>
      <w:spacing w:after="100"/>
      <w:ind w:left="1920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243DE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243DE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62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43DE"/>
    <w:rPr>
      <w:lang w:val="tr"/>
    </w:rPr>
  </w:style>
  <w:style w:type="paragraph" w:styleId="AltBilgi">
    <w:name w:val="footer"/>
    <w:basedOn w:val="Normal"/>
    <w:link w:val="AltBilgiChar"/>
    <w:uiPriority w:val="99"/>
    <w:unhideWhenUsed/>
    <w:rsid w:val="0062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43DE"/>
    <w:rPr>
      <w:lang w:val="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0B14A-0757-4E05-9CB6-609BFB93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3658</Words>
  <Characters>20853</Characters>
  <Application>Microsoft Office Word</Application>
  <DocSecurity>0</DocSecurity>
  <Lines>173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Hilmi Çolakoğlu</dc:creator>
  <cp:keywords/>
  <dc:description/>
  <cp:lastModifiedBy>Office</cp:lastModifiedBy>
  <cp:revision>4</cp:revision>
  <dcterms:created xsi:type="dcterms:W3CDTF">2025-11-10T15:32:00Z</dcterms:created>
  <dcterms:modified xsi:type="dcterms:W3CDTF">2026-05-07T13:15:00Z</dcterms:modified>
</cp:coreProperties>
</file>